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UrlMV (Bayern) — Antrag und Genehmigung</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Urlaub und eine Dienstbefreiung sind rechtzeitig zu beantragen.</w:t>
      </w:r>
    </w:p>
    <w:p>
      <w:r>
        <w:t xml:space="preserve">(2) Für die Erteilung des Urlaubs und einer Dienstbefreiung ist der Dienstvorgesetzte zuständig. Behördenleitern wird der Urlaub von der vorgesetzten Dienstbehörde erteilt. Diese bestimmt, ob und für welche Zeit der Leiter einer Behörde sich selbst beurlauben kann.</w:t>
      </w:r>
    </w:p>
    <w:p>
      <w:r>
        <w:rPr>
          <w:color w:val="555555"/>
          <w:sz w:val="17"/>
        </w:rPr>
        <w:t xml:space="preserve">Zitiervorschlag: § 17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