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UrkErsV</w:t>
      </w:r>
    </w:p>
    <w:p>
      <w:r>
        <w:rPr>
          <w:color w:val="555555"/>
          <w:sz w:val="18"/>
        </w:rPr>
        <w:t xml:space="preserve">Verordnung über die Ersetzung zerstörter oder abhanden gekommener gerichtlicher oder notarischer Urkunden</w:t>
      </w:r>
    </w:p>
    <w:p>
      <w:r>
        <w:rPr>
          <w:color w:val="555555"/>
          <w:sz w:val="18"/>
        </w:rPr>
        <w:t xml:space="preserve">Stand: 10.06.2019 (konsolidierte Textfassung, kein amtliches Inkrafttretensdatum)</w:t>
      </w:r>
    </w:p>
    <w:p>
      <w:r>
        <w:t xml:space="preserve">Das Amtsgericht ist auch zuständig, Urkunden, die von Dienststellen der Wehrmacht im Bereich der freiwilligen Gerichtsbarkeit aufgenommen oder ausgestellt sind und sich in dauernder gerichtlicher Verwahrung befinden, in gleicher Weise wie Urkunden, die das Amtsgericht selbst aufgenommen oder ausgestellt hat, wiederherzustellen.</w:t>
      </w:r>
    </w:p>
    <w:p>
      <w:r>
        <w:rPr>
          <w:color w:val="555555"/>
          <w:sz w:val="17"/>
        </w:rPr>
        <w:t xml:space="preserve">Zitiervorschlag: § 8 UrkErsV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https://recht.nulegal.eu/gesetze/UrkErsV/8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