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UrkErsV</w:t>
      </w:r>
    </w:p>
    <w:p>
      <w:r>
        <w:rPr>
          <w:color w:val="555555"/>
          <w:sz w:val="18"/>
        </w:rPr>
        <w:t xml:space="preserve">Verordnung über die Ersetzung zerstörter oder abhanden gekommener gerichtlicher oder notarischer Urkunden</w:t>
      </w:r>
    </w:p>
    <w:p>
      <w:r>
        <w:rPr>
          <w:color w:val="555555"/>
          <w:sz w:val="18"/>
        </w:rPr>
        <w:t xml:space="preserve">Stand: 10.06.2019 (konsolidierte Textfassung, kein amtliches Inkrafttretensdatum)</w:t>
      </w:r>
    </w:p>
    <w:p>
      <w:r>
        <w:t xml:space="preserve">(1) Das Verfahren nach den §§ 1 und 3 ist gebührenfrei. Für die den Beteiligten zugestellten Ausfertigungen werden Schreibgebühren erhoben. Befand sich die Urschrift im Besitz eines Beteiligten und hat dieser den Verlust zu verantworten, so hat er für die Wiederherstellung die gleiche Gebühr wie für die erstmalige Aufnahme oder Ausstellung der Urkunde zu entrichten.</w:t>
      </w:r>
    </w:p>
    <w:p>
      <w:r>
        <w:t xml:space="preserve">(2) Handelt es sich um eine Urkunde über Erklärungen der Beteiligten und ist eine Ersetzung der Urschrift nach § 1 nicht möglich, so werden für eine erneute Beurkundung des gleichen Vorgangs Gerichts- oder Notargebühren nur in Höhe eines Drittels erhoben. Dies gilt nicht, soweit die ursprünglichen Erklärungen in wesentlichen Punkten ergänzt oder geändert werden.</w:t>
      </w:r>
    </w:p>
    <w:p>
      <w:r>
        <w:rPr>
          <w:color w:val="555555"/>
          <w:sz w:val="17"/>
        </w:rPr>
        <w:t xml:space="preserve">Zitiervorschlag: § 7 UrkErsV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https://recht.nulegal.eu/gesetze/UrkErsV/7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