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UrkErsV</w:t>
      </w:r>
    </w:p>
    <w:p>
      <w:r>
        <w:rPr>
          <w:color w:val="555555"/>
          <w:sz w:val="18"/>
        </w:rPr>
        <w:t xml:space="preserve">Verordnung über die Ersetzung zerstörter oder abhanden gekommener gerichtlicher oder notarischer Urkunden</w:t>
      </w:r>
    </w:p>
    <w:p>
      <w:r>
        <w:rPr>
          <w:color w:val="555555"/>
          <w:sz w:val="18"/>
        </w:rPr>
        <w:t xml:space="preserve">Stand: 10.06.2019 (konsolidierte Textfassung, kein amtliches Inkrafttretensdatum)</w:t>
      </w:r>
    </w:p>
    <w:p>
      <w:r>
        <w:t xml:space="preserve">(1) Gegen die Ersetzung der Urschrift steht den Beteiligten, denen die Ausfertigung oder Entscheidung zugestellt worden ist (§ 5), die Beschwerde zu.</w:t>
      </w:r>
    </w:p>
    <w:p>
      <w:r>
        <w:t xml:space="preserve">(2) Im übrigen kann jeder, der durch die Entscheidung des Gerichts (Notars) betroffen ist, die erneute Einleitung des Verfahrens beantragen. Lehnt das Gericht (der Notar) eine Änderung der neuen Urschrift ab, so steht dem Antragsteller die Beschwerde zu.</w:t>
      </w:r>
    </w:p>
    <w:p>
      <w:r>
        <w:t xml:space="preserve">(3) Für das Beschwerdeverfahren gelten in bürgerlichen Rechtsstreitigkeiten die Vorschriften der Zivilprozeßordnung, in Strafsachen die Vorschriften der Strafprozeßordnung, in Angelegenheiten der freiwilligen Gerichtsbarkeit (Notarsachen) die Vorschriften des Gesetzes über das Verfahren in Familiensachen und in den Angelegenheiten der freiwilligen Gerichtsbarkeit. Richtet sich die Beschwerde gegen die Verfügung eines Notars, so entscheidet das Landgericht, in dessen Bezirk der Notar seinen Amtssitz hat. Richtet sich die Beschwerde gegen die Verfügung eines Urkundsbeamten der Geschäftsstelle, so ist innerhalb der Beschwerdefrist die Entscheidung des Gerichts nachzusuchen, zu dem der Urkundsbeamte der Geschäftsstelle gehört; das Gericht hat das Gesuch, wenn es ihm nicht entsprechen will, dem Beschwerdegericht vorzulegen.</w:t>
      </w:r>
    </w:p>
    <w:p>
      <w:r>
        <w:t xml:space="preserve">(4) Gegen die Entscheidung des Beschwerdegerichts ist ein weiteres Rechtsmittel nicht zulässig.</w:t>
      </w:r>
    </w:p>
    <w:p>
      <w:r>
        <w:rPr>
          <w:color w:val="555555"/>
          <w:sz w:val="17"/>
        </w:rPr>
        <w:t xml:space="preserve">Zitiervorschlag: § 6 UrkErsV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https://recht.nulegal.eu/gesetze/UrkErsV/6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