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UrkErsV</w:t>
      </w:r>
    </w:p>
    <w:p>
      <w:r>
        <w:rPr>
          <w:color w:val="555555"/>
          <w:sz w:val="18"/>
        </w:rPr>
        <w:t xml:space="preserve">Verordnung über die Ersetzung zerstörter oder abhanden gekommener gerichtlicher oder notarischer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§ 1 ist dem Antragsteller und nach dem Ermessen des Gerichts oder des Notars auch anderen Beteiligten eine Ausfertigung zuzustellen. In bürgerlichen Rechtsstreitigkeiten ist die Ausfertigung den Parteien zuzustellen.</w:t>
      </w:r>
    </w:p>
    <w:p>
      <w:r>
        <w:t xml:space="preserve">(2) Im Falle des § 3 ist der Beschluß dem Antragsteller und den sonst Beteiligten, in bürgerlichen Rechtsstreitigkeiten den Parteien zuzustellen.</w:t>
      </w:r>
    </w:p>
    <w:p>
      <w:r>
        <w:t xml:space="preserve">(3) Wer Beteiligter ist, bestimmt das Gericht oder der Notar nach freiem Ermessen.</w:t>
      </w:r>
    </w:p>
    <w:p>
      <w:r>
        <w:rPr>
          <w:color w:val="555555"/>
          <w:sz w:val="17"/>
        </w:rPr>
        <w:t xml:space="preserve">Zitiervorschlag: § 5 UrkErsV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https://recht.nulegal.eu/gesetze/UrkErsV/5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