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UrkErsV</w:t>
      </w:r>
    </w:p>
    <w:p>
      <w:r>
        <w:rPr>
          <w:color w:val="555555"/>
          <w:sz w:val="18"/>
        </w:rPr>
        <w:t xml:space="preserve">Verordnung über die Ersetzung zerstörter oder abhanden gekommener gerichtlicher oder notarischer Urkunden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von Amts wegen oder auf Ersuchen eines Notars, bei dem ein Verfahren nach § 1 schwebt, dem Besitzer von Ausfertigungen oder beglaubigten Abschriften aufgeben, diese dem Gericht zur Einsicht vorzulegen.</w:t>
      </w:r>
    </w:p>
    <w:p>
      <w:r>
        <w:rPr>
          <w:color w:val="555555"/>
          <w:sz w:val="17"/>
        </w:rPr>
        <w:t xml:space="preserve">Zitiervorschlag: § 2 UrkErsV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https://recht.nulegal.eu/gesetze/UrkErsV/2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