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UrkErsV</w:t>
      </w:r>
    </w:p>
    <w:p>
      <w:r>
        <w:rPr>
          <w:color w:val="555555"/>
          <w:sz w:val="18"/>
        </w:rPr>
        <w:t xml:space="preserve">Verordnung über die Ersetzung zerstörter oder abhanden gekommener gerichtlicher oder notarischer Urkunden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10 UrkErsV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https://recht.nulegal.eu/gesetze/UrkErsV/10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