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UrkBefrITAG</w:t>
      </w:r>
    </w:p>
    <w:p>
      <w:r>
        <w:rPr>
          <w:color w:val="555555"/>
          <w:sz w:val="18"/>
        </w:rPr>
        <w:t xml:space="preserve">Gesetz zu dem Vertrag vom 7. Juni 1969 zwischen der Bundesrepublik Deutschland und der Italienischen Republik über den Verzicht auf die Legalisation von Urkunden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Bundesregierung und die Landesregierungen bestimmen in ihrem jeweiligen Geschäftsbereich die Behörden, die für die Beglaubigung nach Artikel 2 des Vertrages zuständig sind (Artikel 5 Abs. 1 Nr. 1 des Vertrages). Als zuständige Behörde kann auch der Präsident eines Gerichts bestimmt werden.</w:t>
      </w:r>
    </w:p>
    <w:p>
      <w:r>
        <w:t xml:space="preserve">(2) Rechtsverordnungen der Bundesregierung nach Absatz 1 bedürfen nicht der Zustimmung des Bundesrates.</w:t>
      </w:r>
    </w:p>
    <w:p>
      <w:r>
        <w:rPr>
          <w:color w:val="555555"/>
          <w:sz w:val="17"/>
        </w:rPr>
        <w:t xml:space="preserve">Zitiervorschlag: Art 2 UrkBefrITAG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https://recht.nulegal.eu/gesetze/UrkBefrITAG/2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