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UrkBefrBELV</w:t>
      </w:r>
    </w:p>
    <w:p>
      <w:r>
        <w:rPr>
          <w:color w:val="555555"/>
          <w:sz w:val="18"/>
        </w:rPr>
        <w:t xml:space="preserve">Verordnung über die Bestimmung der Beglaubigungsbehörde nach dem deutsch-belgischen Abkommen vom 13. Mai 1975 über die Befreiung öffentlicher Urkunden von der Legalisation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Artikel 6 des eingangs genannten Gesetzes auch im Land Berlin.</w:t>
      </w:r>
    </w:p>
    <w:p>
      <w:r>
        <w:rPr>
          <w:color w:val="555555"/>
          <w:sz w:val="17"/>
        </w:rPr>
        <w:t xml:space="preserve">Zitiervorschlag: § 2 UrkBefrBELV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https://recht.nulegal.eu/gesetze/UrkBefrBELV/2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