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UrhRollV</w:t>
      </w:r>
    </w:p>
    <w:p>
      <w:r>
        <w:rPr>
          <w:color w:val="555555"/>
          <w:sz w:val="18"/>
        </w:rPr>
        <w:t xml:space="preserve">Verordnung über das Register anonymer und pseudonymer Werke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138 Abs. 5 des Urheberrechtsgesetzes vom 9. September 1965 (Bundesgesetzbl. I S. 1273) wird verordnet:</w:t>
      </w:r>
    </w:p>
    <w:p>
      <w:r>
        <w:rPr>
          <w:color w:val="555555"/>
          <w:sz w:val="17"/>
        </w:rPr>
        <w:t xml:space="preserve">Zitiervorschlag: Eingangsformel UrhRollV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https://recht.nulegal.eu/gesetze/UrhRollV/eingangsformel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