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UrhRollV — Inhalt der Eintragung</w:t>
      </w:r>
    </w:p>
    <w:p>
      <w:r>
        <w:rPr>
          <w:color w:val="555555"/>
          <w:sz w:val="18"/>
        </w:rPr>
        <w:t xml:space="preserve">Verordnung über das Register anonymer und pseudonymer Werke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das Register anonymer und pseudonymer Werke sind die laufende Nummer der Eintragung, der Tag, an dem der Antrag beim Patentamt eingegangen ist, sowie die in § 1 Abs. 2 bezeichneten Angaben einzutragen.</w:t>
      </w:r>
    </w:p>
    <w:p>
      <w:r>
        <w:rPr>
          <w:color w:val="555555"/>
          <w:sz w:val="17"/>
        </w:rPr>
        <w:t xml:space="preserve">Zitiervorschlag: § 2 UrhRollV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https://recht.nulegal.eu/gesetze/UrhRollV/2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