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UrhGBefStV — Inkrafttreten</w:t>
      </w:r>
    </w:p>
    <w:p>
      <w:r>
        <w:rPr>
          <w:color w:val="555555"/>
          <w:sz w:val="18"/>
        </w:rPr>
        <w:t xml:space="preserve">Verordnung über befugte Stellen nach dem 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2019 in Kraft.</w:t>
      </w:r>
    </w:p>
    <w:p>
      <w:r>
        <w:rPr>
          <w:color w:val="555555"/>
          <w:sz w:val="17"/>
        </w:rPr>
        <w:t xml:space="preserve">Zitiervorschlag: § 5 UrhGBefStV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https://recht.nulegal.eu/gesetze/UrhGBefStV/5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UrhGBefStV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