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99 UrhG — Haftung des Inhabers eines Unternehmens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in einem Unternehmen von einem Arbeitnehmer oder Beauftragten ein nach diesem Gesetz geschütztes Recht widerrechtlich verletzt worden, hat der Verletzte die Ansprüche aus § 97 Abs. 1 und § 98 auch gegen den Inhaber des Unternehmens.</w:t>
      </w:r>
    </w:p>
    <w:p>
      <w:r>
        <w:rPr>
          <w:color w:val="555555"/>
          <w:sz w:val="17"/>
        </w:rPr>
        <w:t xml:space="preserve">Zitiervorschlag: § 99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https://recht.nulegal.eu/gesetze/UrhG/99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