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97a UrhG — Abmahnung</w:t>
      </w:r>
    </w:p>
    <w:p>
      <w:r>
        <w:rPr>
          <w:color w:val="555555"/>
          <w:sz w:val="18"/>
        </w:rPr>
        <w:t xml:space="preserve">Urheberrechtsgesetz</w:t>
      </w:r>
    </w:p>
    <w:p>
      <w:r>
        <w:rPr>
          <w:color w:val="555555"/>
          <w:sz w:val="18"/>
        </w:rPr>
        <w:t xml:space="preserve">Stand: 02.12.2020 (konsolidierte Textfassung, kein amtliches Inkrafttretensdatum)</w:t>
      </w:r>
    </w:p>
    <w:p>
      <w:r>
        <w:t xml:space="preserve">(1) Der Verletzte soll den Verletzer vor Einleitung eines gerichtlichen Verfahrens auf Unterlassung abmahnen und ihm Gelegenheit geben, den Streit durch Abgabe einer mit einer angemessenen Vertragsstrafe bewehrten Unterlassungsverpflichtung beizulegen.</w:t>
      </w:r>
    </w:p>
    <w:p>
      <w:r>
        <w:t xml:space="preserve">(2) Die Abmahnung hat in klarer und verständlicher Weise</w:t>
      </w:r>
    </w:p>
    <w:p>
      <w:pPr>
        <w:ind w:left="420"/>
      </w:pPr>
      <w:r>
        <w:t xml:space="preserve">1. Name oder Firma des Verletzten anzugeben, wenn der Verletzte nicht selbst, sondern ein Vertreter abmahnt,</w:t>
      </w:r>
    </w:p>
    <w:p>
      <w:pPr>
        <w:ind w:left="420"/>
      </w:pPr>
      <w:r>
        <w:t xml:space="preserve">2. die Rechtsverletzung genau zu bezeichnen,</w:t>
      </w:r>
    </w:p>
    <w:p>
      <w:pPr>
        <w:ind w:left="420"/>
      </w:pPr>
      <w:r>
        <w:t xml:space="preserve">3. geltend gemachte Zahlungsansprüche als Schadensersatz- und Aufwendungsersatzansprüche aufzuschlüsseln und</w:t>
      </w:r>
    </w:p>
    <w:p>
      <w:pPr>
        <w:ind w:left="420"/>
      </w:pPr>
      <w:r>
        <w:t xml:space="preserve">4. wenn darin eine Aufforderung zur Abgabe einer Unterlassungsverpflichtung enthalten ist, anzugeben, ob die vorgeschlagene Unterlassungsverpflichtung erheblich über die abgemahnte Rechtsverletzung hinausgeht.</w:t>
      </w:r>
    </w:p>
    <w:p>
      <w:r>
        <w:t xml:space="preserve">Eine Abmahnung, die nicht Satz 1 entspricht, ist unwirksam.</w:t>
      </w:r>
    </w:p>
    <w:p>
      <w:r>
        <w:t xml:space="preserve">(3) Soweit die Abmahnung berechtigt ist und Absatz 2 Satz 1 Nummer 1 bis 4 entspricht, kann der Ersatz der erforderlichen Aufwendungen verlangt werden. Für die Inanspruchnahme anwaltlicher Dienstleistungen beschränkt sich der Ersatz der erforderlichen Aufwendungen hinsichtlich der gesetzlichen Gebühren auf Gebühren nach einem Gegenstandswert für den Unterlassungs- und Beseitigungsanspruch von 1 000 Euro, wenn der Abgemahnte</w:t>
      </w:r>
    </w:p>
    <w:p>
      <w:pPr>
        <w:ind w:left="420"/>
      </w:pPr>
      <w:r>
        <w:t xml:space="preserve">1. eine natürliche Person ist, die nach diesem Gesetz geschützte Werke oder andere nach diesem Gesetz geschützte Schutzgegenstände nicht für ihre gewerbliche oder selbständige berufliche Tätigkeit verwendet, und</w:t>
      </w:r>
    </w:p>
    <w:p>
      <w:pPr>
        <w:ind w:left="420"/>
      </w:pPr>
      <w:r>
        <w:t xml:space="preserve">2. nicht bereits wegen eines Anspruchs des Abmahnenden durch Vertrag, auf Grund einer rechtskräftigen gerichtlichen Entscheidung oder einer einstweiligen Verfügung zur Unterlassung verpflichtet ist.</w:t>
      </w:r>
    </w:p>
    <w:p>
      <w:r>
        <w:t xml:space="preserve">Der in Satz 2 genannte Wert ist auch maßgeblich, wenn ein Unterlassungs- und ein Beseitigungsanspruch nebeneinander geltend gemacht werden. Satz 2 gilt nicht, wenn der genannte Wert nach den besonderen Umständen des Einzelfalles unbillig ist.</w:t>
      </w:r>
    </w:p>
    <w:p>
      <w:r>
        <w:t xml:space="preserve">(4) Soweit die Abmahnung unberechtigt oder unwirksam ist, kann der Abgemahnte Ersatz der für seine Rechtsverteidigung erforderlichen Aufwendungen verlangen, es sei denn, es war für den Abmahnenden zum Zeitpunkt der Abmahnung nicht erkennbar, dass die Abmahnung unberechtigt war. Weitergehende Ersatzansprüche bleiben unberührt.</w:t>
      </w:r>
    </w:p>
    <w:p>
      <w:r>
        <w:rPr>
          <w:color w:val="555555"/>
          <w:sz w:val="17"/>
        </w:rPr>
        <w:t xml:space="preserve">Zitiervorschlag: § 97a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