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UrhG — Anspruch auf Unterlassung und Schadensersatz</w:t>
      </w:r>
    </w:p>
    <w:p>
      <w:r>
        <w:rPr>
          <w:color w:val="555555"/>
          <w:sz w:val="18"/>
        </w:rPr>
        <w:t xml:space="preserve">Urheberrechtsgesetz</w:t>
      </w:r>
    </w:p>
    <w:p>
      <w:r>
        <w:rPr>
          <w:color w:val="555555"/>
          <w:sz w:val="18"/>
        </w:rPr>
        <w:t xml:space="preserve">Stand: 10.06.2019 (konsolidierte Textfassung, kein amtliches Inkrafttretensdatum)</w:t>
      </w:r>
    </w:p>
    <w:p>
      <w:r>
        <w:t xml:space="preserve">(1) Wer das Urheberrecht oder ein anderes nach diesem Gesetz geschütztes Recht widerrechtlich verletzt, kann von dem Verletzten auf Beseitigung der Beeinträchtigung, bei Wiederholungsgefahr auf Unterlassung in Anspruch genommen werden. Der Anspruch auf Unterlassung besteht auch dann, wenn eine Zuwiderhandlung erstmalig droht.</w:t>
      </w:r>
    </w:p>
    <w:p>
      <w:r>
        <w:t xml:space="preserve">(2) Wer die Handlung vorsätzlich oder fahrlässig vornimmt, ist dem Verletzten zum Ersatz des daraus entstehenden Schadens verpflichtet. Bei der Bemessung des Schadensersatzes kann auch der Gewinn, den der Verletzer durch die Verletzung des Rechts erzielt hat, berücksichtigt werden. Der Schadensersatzanspruch kann auch auf der Grundlage des Betrages berechnet werden, den der Verletzer als angemessene Vergütung hätte entrichten müssen, wenn er die Erlaubnis zur Nutzung des verletzten Rechts eingeholt hätte. Urheber, Verfasser wissenschaftlicher Ausgaben (§ 70), Lichtbildner (§ 72) und ausübende Künstler (§ 73) können auch wegen des Schadens, der nicht Vermögensschaden ist, eine Entschädigung in Geld verlangen, wenn und soweit dies der Billigkeit entspricht.</w:t>
      </w:r>
    </w:p>
    <w:p>
      <w:r>
        <w:rPr>
          <w:color w:val="555555"/>
          <w:sz w:val="17"/>
        </w:rPr>
        <w:t xml:space="preserve">Zitiervorschlag: § 97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https://recht.nulegal.eu/gesetze/UrhG/97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