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95d UrhG — Kennzeichnungspflichten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Werke und andere Schutzgegenstände, die mit technischen Maßnahmen geschützt werden, sind deutlich sichtbar mit Angaben über die Eigenschaften der technischen Maßnahmen zu kennzeichnen.</w:t>
      </w:r>
    </w:p>
    <w:p>
      <w:r>
        <w:t xml:space="preserve">(2) Wer Werke und andere Schutzgegenstände mit technischen Maßnahmen schützt, hat diese zur Ermöglichung der Geltendmachung von Ansprüchen nach § 95b Abs. 2 mit seinem Namen oder seiner Firma und der zustellungsfähigen Anschrift zu kennzeichnen.</w:t>
      </w:r>
    </w:p>
    <w:p>
      <w:r>
        <w:rPr>
          <w:color w:val="555555"/>
          <w:sz w:val="17"/>
        </w:rPr>
        <w:t xml:space="preserve">Zitiervorschlag: § 95d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https://recht.nulegal.eu/gesetze/UrhG/95d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