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95c UrhG — Schutz der zur Rechtewahrnehmung erforderlichen Informationen</w:t>
      </w:r>
    </w:p>
    <w:p>
      <w:r>
        <w:rPr>
          <w:color w:val="555555"/>
          <w:sz w:val="18"/>
        </w:rPr>
        <w:t xml:space="preserve">Urheberrechtsgesetz</w:t>
      </w:r>
    </w:p>
    <w:p>
      <w:r>
        <w:rPr>
          <w:color w:val="555555"/>
          <w:sz w:val="18"/>
        </w:rPr>
        <w:t xml:space="preserve">Stand: 10.06.2019 (konsolidierte Textfassung, kein amtliches Inkrafttretensdatum)</w:t>
      </w:r>
    </w:p>
    <w:p>
      <w:r>
        <w:t xml:space="preserve">(1) Von Rechtsinhabern stammende Informationen für die Rechtewahrnehmung dürfen nicht entfernt oder verändert werden, wenn irgendeine der betreffenden Informationen an einem Vervielfältigungsstück eines Werkes oder eines sonstigen Schutzgegenstandes angebracht ist oder im Zusammenhang mit der öffentlichen Wiedergabe eines solchen Werkes oder Schutzgegenstandes erscheint und wenn die Entfernung oder Veränderung wissentlich unbefugt erfolgt und dem Handelnden bekannt ist oder den Umständen nach bekannt sein muss, dass er dadurch die Verletzung von Urheberrechten oder verwandter Schutzrechte veranlasst, ermöglicht, erleichtert oder verschleiert.</w:t>
      </w:r>
    </w:p>
    <w:p>
      <w:r>
        <w:t xml:space="preserve">(2) Informationen für die Rechtewahrnehmung im Sinne dieses Gesetzes sind elektronische Informationen, die Werke oder andere Schutzgegenstände, den Urheber oder jeden anderen Rechtsinhaber identifizieren, Informationen über die Modalitäten und Bedingungen für die Nutzung der Werke oder Schutzgegenstände sowie die Zahlen und Codes, durch die derartige Informationen ausgedrückt werden.</w:t>
      </w:r>
    </w:p>
    <w:p>
      <w:r>
        <w:t xml:space="preserve">(3) Werke oder sonstige Schutzgegenstände, bei denen Informationen für die Rechtewahrnehmung unbefugt entfernt oder geändert wurden, dürfen nicht wissentlich unbefugt verbreitet, zur Verbreitung eingeführt, gesendet, öffentlich wiedergegeben oder öffentlich zugänglich gemacht werden, wenn dem Handelnden bekannt ist oder den Umständen nach bekannt sein muss, dass er dadurch die Verletzung von Urheberrechten oder verwandter Schutzrechte veranlasst, ermöglicht, erleichtert oder verschleiert.</w:t>
      </w:r>
    </w:p>
    <w:p>
      <w:r>
        <w:rPr>
          <w:color w:val="555555"/>
          <w:sz w:val="17"/>
        </w:rPr>
        <w:t xml:space="preserve">Zitiervorschlag: § 95c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https://recht.nulegal.eu/gesetze/UrhG/95c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