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UrhG — Urheber verbundener Werke</w:t>
      </w:r>
    </w:p>
    <w:p>
      <w:r>
        <w:rPr>
          <w:color w:val="555555"/>
          <w:sz w:val="18"/>
        </w:rPr>
        <w:t xml:space="preserve">Urheberrechtsgesetz</w:t>
      </w:r>
    </w:p>
    <w:p>
      <w:r>
        <w:rPr>
          <w:color w:val="555555"/>
          <w:sz w:val="18"/>
        </w:rPr>
        <w:t xml:space="preserve">Stand: 10.06.2019 (konsolidierte Textfassung, kein amtliches Inkrafttretensdatum)</w:t>
      </w:r>
    </w:p>
    <w:p>
      <w:r>
        <w:t xml:space="preserve">Haben mehrere Urheber ihre Werke zu gemeinsamer Verwertung miteinander verbunden, so kann jeder vom anderen die Einwilligung zur Veröffentlichung, Verwertung und Änderung der verbundenen Werke verlangen, wenn die Einwilligung dem anderen nach Treu und Glauben zuzumuten ist.</w:t>
      </w:r>
    </w:p>
    <w:p>
      <w:r>
        <w:rPr>
          <w:color w:val="555555"/>
          <w:sz w:val="17"/>
        </w:rPr>
        <w:t xml:space="preserve">Zitiervorschlag: § 9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