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87i UrhG — Vermutung der Rechtsinhaberschaft; gesetzlich erlaubte Nutzungen</w:t>
      </w:r>
    </w:p>
    <w:p>
      <w:r>
        <w:rPr>
          <w:color w:val="555555"/>
          <w:sz w:val="18"/>
        </w:rPr>
        <w:t xml:space="preserve">Urheberrechtsgesetz</w:t>
      </w:r>
    </w:p>
    <w:p>
      <w:r>
        <w:rPr>
          <w:color w:val="555555"/>
          <w:sz w:val="18"/>
        </w:rPr>
        <w:t xml:space="preserve">Stand: 07.06.2021 (konsolidierte Textfassung, kein amtliches Inkrafttretensdatum)</w:t>
      </w:r>
    </w:p>
    <w:p>
      <w:r>
        <w:t xml:space="preserve">§ 10 Absatz 1 sowie die Vorschriften des Teils 1 Abschnitt 6 gelten entsprechend.</w:t>
      </w:r>
    </w:p>
    <w:p>
      <w:r>
        <w:rPr>
          <w:color w:val="555555"/>
          <w:sz w:val="17"/>
        </w:rPr>
        <w:t xml:space="preserve">Zitiervorschlag: § 87i UrhG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https://recht.nulegal.eu/gesetze/UrhG/87i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