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87f UrhG — Begriffsbestimmungen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07.06.2021 (konsolidierte Textfassung, kein amtliches Inkrafttretensdatum)</w:t>
      </w:r>
    </w:p>
    <w:p>
      <w:r>
        <w:t xml:space="preserve">(1) Presseveröffentlichung ist eine hauptsächlich aus Schriftwerken journalistischer Art bestehende Sammlung, die auch sonstige Werke oder nach diesem Gesetz geschützte Schutzgegenstände enthalten kann, und die</w:t>
      </w:r>
    </w:p>
    <w:p>
      <w:pPr>
        <w:ind w:left="420"/>
      </w:pPr>
      <w:r>
        <w:t xml:space="preserve">1. eine Einzelausgabe in einer unter einem einheitlichen Titel periodisch erscheinenden oder regelmäßig aktualisierten Veröffentlichung, etwa Zeitungen oder Magazinen von allgemeinem oder besonderem Interesse, darstellt,</w:t>
      </w:r>
    </w:p>
    <w:p>
      <w:pPr>
        <w:ind w:left="420"/>
      </w:pPr>
      <w:r>
        <w:t xml:space="preserve">2. dem Zweck dient, die Öffentlichkeit über Nachrichten oder andere Themen zu informieren, und</w:t>
      </w:r>
    </w:p>
    <w:p>
      <w:pPr>
        <w:ind w:left="420"/>
      </w:pPr>
      <w:r>
        <w:t xml:space="preserve">3. unabhängig vom Medium auf Initiative eines Presseverlegers nach Absatz 2 unter seiner redaktionellen Verantwortung und Aufsicht veröffentlicht wird.</w:t>
      </w:r>
    </w:p>
    <w:p>
      <w:r>
        <w:t xml:space="preserve">Periodika, die für wissenschaftliche oder akademische Zwecke verlegt werden, sind keine Presseveröffentlichungen.</w:t>
      </w:r>
    </w:p>
    <w:p>
      <w:r>
        <w:t xml:space="preserve">(2) Presseverleger ist, wer eine Presseveröffentlichung herstellt. Ist die Presseveröffentlichung in einem Unternehmen hergestellt worden, so gilt der Inhaber des Unternehmens als Hersteller.</w:t>
      </w:r>
    </w:p>
    <w:p>
      <w:r>
        <w:t xml:space="preserve">(3) Dienste der Informationsgesellschaft im Sinne dieses Abschnitts sind Dienste im Sinne des Artikels 1 Absatz 1 Buchstabe b der Richtlinie (EU) 2015/1535 des Europäischen Parlaments und des Rates vom 9. September 2015 über ein Informationsverfahren auf dem Gebiet der technischen Vorschriften und der Vorschriften für die Dienste der Informationsgesellschaft (ABl. L 241 vom 17.9.2015, S. 1).</w:t>
      </w:r>
    </w:p>
    <w:p>
      <w:r>
        <w:rPr>
          <w:color w:val="555555"/>
          <w:sz w:val="17"/>
        </w:rPr>
        <w:t xml:space="preserve">Zitiervorschlag: § 87f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https://recht.nulegal.eu/gesetze/UrhG/87f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