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87a UrhG — Begriffsbestimmungen</w:t>
      </w:r>
    </w:p>
    <w:p>
      <w:r>
        <w:rPr>
          <w:color w:val="555555"/>
          <w:sz w:val="18"/>
        </w:rPr>
        <w:t xml:space="preserve">Urheberrechtsgesetz</w:t>
      </w:r>
    </w:p>
    <w:p>
      <w:r>
        <w:rPr>
          <w:color w:val="555555"/>
          <w:sz w:val="18"/>
        </w:rPr>
        <w:t xml:space="preserve">Stand: 10.06.2019 (konsolidierte Textfassung, kein amtliches Inkrafttretensdatum)</w:t>
      </w:r>
    </w:p>
    <w:p>
      <w:r>
        <w:t xml:space="preserve">(1) Datenbank im Sinne dieses Gesetzes ist eine Sammlung von Werken, Daten oder anderen unabhängigen Elementen, die systematisch oder methodisch angeordnet und einzeln mit Hilfe elektronischer Mittel oder auf andere Weise zugänglich sind und deren Beschaffung, Überprüfung oder Darstellung eine nach Art oder Umfang wesentliche Investition erfordert. Eine in ihrem Inhalt nach Art oder Umfang wesentlich geänderte Datenbank gilt als neue Datenbank, sofern die Änderung eine nach Art oder Umfang wesentliche Investition erfordert.</w:t>
      </w:r>
    </w:p>
    <w:p>
      <w:r>
        <w:t xml:space="preserve">(2) Datenbankhersteller im Sinne dieses Gesetzes ist derjenige, der die Investition im Sinne des Absatzes 1 vorgenommen hat.</w:t>
      </w:r>
    </w:p>
    <w:p>
      <w:r>
        <w:rPr>
          <w:color w:val="555555"/>
          <w:sz w:val="17"/>
        </w:rPr>
        <w:t xml:space="preserve">Zitiervorschlag: § 87a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https://recht.nulegal.eu/gesetze/UrhG/87a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