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UrhG — Dauer der Verwertungsrechte</w:t>
      </w:r>
    </w:p>
    <w:p>
      <w:r>
        <w:rPr>
          <w:color w:val="555555"/>
          <w:sz w:val="18"/>
        </w:rPr>
        <w:t xml:space="preserve">Urheberrechtsgesetz</w:t>
      </w:r>
    </w:p>
    <w:p>
      <w:r>
        <w:rPr>
          <w:color w:val="555555"/>
          <w:sz w:val="18"/>
        </w:rPr>
        <w:t xml:space="preserve">Stand: 10.06.2019 (konsolidierte Textfassung, kein amtliches Inkrafttretensdatum)</w:t>
      </w:r>
    </w:p>
    <w:p>
      <w:r>
        <w:t xml:space="preserve">(1) Ist die Darbietung des ausübenden Künstlers auf einem Tonträger aufgezeichnet worden, so erlöschen die in den §§ 77 und 78 bezeichneten Rechte des ausübenden Künstlers 70 Jahre nach dem Erscheinen des Tonträgers, oder wenn dessen erste erlaubte Benutzung zur öffentlichen Wiedergabe früher erfolgt ist, 70 Jahre nach dieser. Ist die Darbietung des ausübenden Künstlers nicht auf einem Tonträger aufgezeichnet worden, so erlöschen die in den §§ 77 und 78 bezeichneten Rechte des ausübenden Künstlers 50 Jahre nach dem Erscheinen der Aufzeichnung, oder wenn deren erste erlaubte Benutzung zur öffentlichen Wiedergabe früher erfolgt ist, 50 Jahre nach dieser. Die Rechte des ausübenden Künstlers erlöschen jedoch bereits 50 Jahre nach der Darbietung, wenn eine Aufzeichnung innerhalb dieser Frist nicht erschienen oder nicht erlaubterweise zur öffentlichen Wiedergabe benutzt worden ist.</w:t>
      </w:r>
    </w:p>
    <w:p>
      <w:r>
        <w:t xml:space="preserve">(2) Die in § 81 bezeichneten Rechte des Veranstalters erlöschen 25 Jahre nach Erscheinen einer Aufzeichnung der Darbietung eines ausübenden Künstlers, oder wenn deren erste erlaubte Benutzung zur öffentlichen Wiedergabe früher erfolgt ist, 25 Jahre nach dieser. Die Rechte erlöschen bereits 25 Jahre nach der Darbietung, wenn eine Aufzeichnung innerhalb dieser Frist nicht erschienen oder nicht erlaubterweise zur öffentlichen Wiedergabe benutzt worden ist.</w:t>
      </w:r>
    </w:p>
    <w:p>
      <w:r>
        <w:t xml:space="preserve">(3) Die Fristen sind nach § 69 zu berechnen.</w:t>
      </w:r>
    </w:p>
    <w:p>
      <w:r>
        <w:rPr>
          <w:color w:val="555555"/>
          <w:sz w:val="17"/>
        </w:rPr>
        <w:t xml:space="preserve">Zitiervorschlag: § 82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