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UrhG — Wissenschaftliche Ausgaben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Ausgaben urheberrechtlich nicht geschützter Werke oder Texte werden in entsprechender Anwendung der Vorschriften des Teils 1 geschützt, wenn sie das Ergebnis wissenschaftlich sichtender Tätigkeit darstellen und sich wesentlich von den bisher bekannten Ausgaben der Werke oder Texte unterscheiden.</w:t>
      </w:r>
    </w:p>
    <w:p>
      <w:r>
        <w:t xml:space="preserve">(2) Das Recht steht dem Verfasser der Ausgabe zu.</w:t>
      </w:r>
    </w:p>
    <w:p>
      <w:r>
        <w:t xml:space="preserve">(3) Das Recht erlischt fünfundzwanzig Jahre nach dem Erscheinen der Ausgabe, jedoch bereits fünfundzwanzig Jahre nach der Herstellung, wenn die Ausgabe innerhalb dieser Frist nicht erschienen ist. Die Frist ist nach § 69 zu berechnen.</w:t>
      </w:r>
    </w:p>
    <w:p>
      <w:r>
        <w:rPr>
          <w:color w:val="555555"/>
          <w:sz w:val="17"/>
        </w:rPr>
        <w:t xml:space="preserve">Zitiervorschlag: § 70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