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69f UrhG — Rechtsverletzungen; ergänzende Schutzbestimmungen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Der Rechtsinhaber kann von dem Eigentümer oder Besitzer verlangen, daß alle rechtswidrig hergestellten, verbreiteten oder zur rechtswidrigen Verbreitung bestimmten Vervielfältigungsstücke vernichtet werden. § 98 Abs. 3 und 4 ist entsprechend anzuwenden.</w:t>
      </w:r>
    </w:p>
    <w:p>
      <w:r>
        <w:t xml:space="preserve">(2) Absatz 1 ist entsprechend auf Mittel anzuwenden, die allein dazu bestimmt sind, die unerlaubte Beseitigung oder Umgehung technischer Programmschutzmechanismen zu erleichtern. Satz 1 gilt nicht für Mittel, die Kulturerbe-Einrichtungen einsetzen, um von der gesetzlichen Nutzungserlaubnis des § 61d, auch in Verbindung mit § 69d Absatz 7, Gebrauch zu machen.</w:t>
      </w:r>
    </w:p>
    <w:p>
      <w:r>
        <w:t xml:space="preserve">(3) Auf technische Programmschutzmechanismen ist in den Fällen des § 44b, auch in Verbindung mit § 69d Absatz 4, des § 60a, auch in Verbindung mit § 69d Absatz 5, des § 60e Absatz 1 oder 6 sowie des § 60f Absatz 1 oder 3 nur § 95b entsprechend anzuwenden.</w:t>
      </w:r>
    </w:p>
    <w:p>
      <w:r>
        <w:rPr>
          <w:color w:val="555555"/>
          <w:sz w:val="17"/>
        </w:rPr>
        <w:t xml:space="preserve">Zitiervorschlag: § 69f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https://recht.nulegal.eu/gesetze/UrhG/69f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