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UrhG — Miturheber, Filmwerke, Musikkomposition mit Text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Steht das Urheberrecht mehreren Miturhebern (§ 8) zu, so erlischt es siebzig Jahre nach dem Tode des längstlebenden Miturhebers.</w:t>
      </w:r>
    </w:p>
    <w:p>
      <w:r>
        <w:t xml:space="preserve">(2) Bei Filmwerken und Werken, die ähnlich wie Filmwerke hergestellt werden, erlischt das Urheberrecht siebzig Jahre nach dem Tod des Längstlebenden der folgenden Personen: Hauptregisseur, Urheber des Drehbuchs, Urheber der Dialoge, Komponist der für das betreffende Filmwerk komponierten Musik.</w:t>
      </w:r>
    </w:p>
    <w:p>
      <w:r>
        <w:t xml:space="preserve">(3) Die Schutzdauer einer Musikkomposition mit Text erlischt 70 Jahre nach dem Tod des Längstlebenden der folgenden Personen: Verfasser des Textes, Komponist der Musikkomposition, sofern beide Beiträge eigens für die betreffende Musikkomposition mit Text geschaffen wurden. Dies gilt unabhängig davon, ob diese Personen als Miturheber ausgewiesen sind.</w:t>
      </w:r>
    </w:p>
    <w:p>
      <w:r>
        <w:rPr>
          <w:color w:val="555555"/>
          <w:sz w:val="17"/>
        </w:rPr>
        <w:t xml:space="preserve">Zitiervorschlag: § 65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