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 UrhG — Allgemeines</w:t>
      </w:r>
    </w:p>
    <w:p>
      <w:r>
        <w:rPr>
          <w:color w:val="555555"/>
          <w:sz w:val="18"/>
        </w:rPr>
        <w:t xml:space="preserve">Urheberrechtsgesetz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Urheberrecht erlischt siebzig Jahre nach dem Tode des Urhebers.</w:t>
      </w:r>
    </w:p>
    <w:p>
      <w:r>
        <w:rPr>
          <w:color w:val="555555"/>
          <w:sz w:val="17"/>
        </w:rPr>
        <w:t xml:space="preserve">Zitiervorschlag: § 64 UrhG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https://recht.nulegal.eu/gesetze/UrhG/64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