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63a UrhG — Gesetzliche Vergütungsansprüche</w:t>
      </w:r>
    </w:p>
    <w:p>
      <w:r>
        <w:rPr>
          <w:color w:val="555555"/>
          <w:sz w:val="18"/>
        </w:rPr>
        <w:t xml:space="preserve">Urheberrechtsgesetz</w:t>
      </w:r>
    </w:p>
    <w:p>
      <w:r>
        <w:rPr>
          <w:color w:val="555555"/>
          <w:sz w:val="18"/>
        </w:rPr>
        <w:t xml:space="preserve">Stand: 07.06.2021 (konsolidierte Textfassung, kein amtliches Inkrafttretensdatum)</w:t>
      </w:r>
    </w:p>
    <w:p>
      <w:r>
        <w:t xml:space="preserve">(1) Auf gesetzliche Vergütungsansprüche nach diesem Abschnitt kann der Urheber im Voraus nicht verzichten. Sie können im Voraus nur an eine Verwertungsgesellschaft abgetreten werden.</w:t>
      </w:r>
    </w:p>
    <w:p>
      <w:r>
        <w:t xml:space="preserve">(2) Hat der Urheber einem Verleger ein Recht an seinem Werk eingeräumt, so ist der Verleger in Bezug auf dieses Recht angemessen an den gesetzlichen Vergütungsansprüchen nach diesem Abschnitt zu beteiligen. In diesem Fall können gesetzliche Vergütungsansprüche nur durch eine gemeinsame Verwertungsgesellschaft von Urhebern und Verlegern geltend gemacht werden.</w:t>
      </w:r>
    </w:p>
    <w:p>
      <w:r>
        <w:t xml:space="preserve">(3) Absatz 2 ist auf den Vergütungsanspruch nach § 27 Absatz 2 entsprechend anzuwenden.</w:t>
      </w:r>
    </w:p>
    <w:p>
      <w:r>
        <w:rPr>
          <w:color w:val="555555"/>
          <w:sz w:val="17"/>
        </w:rPr>
        <w:t xml:space="preserve">Zitiervorschlag: § 63a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