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61e UrhG — Verordnungsermächtigung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Das Bundesministerium der Justiz und für Verbraucherschutz wird ermächtigt, durch Rechtsverordnung ohne Zustimmung des Bundesrates zu folgenden Regelungen nähere Bestimmungen zu treffen:</w:t>
      </w:r>
    </w:p>
    <w:p>
      <w:pPr>
        <w:ind w:left="420"/>
      </w:pPr>
      <w:r>
        <w:t xml:space="preserve">1. Ausübung und Rechtsfolgen des Widerspruchs des Rechtsinhabers (§ 61d Absatz 2),</w:t>
      </w:r>
    </w:p>
    <w:p>
      <w:pPr>
        <w:ind w:left="420"/>
      </w:pPr>
      <w:r>
        <w:t xml:space="preserve">2. Informationspflichten (§ 61d Absatz 3).</w:t>
      </w:r>
    </w:p>
    <w:p>
      <w:r>
        <w:rPr>
          <w:color w:val="555555"/>
          <w:sz w:val="17"/>
        </w:rPr>
        <w:t xml:space="preserve">Zitiervorschlag: § 61e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https://recht.nulegal.eu/gesetze/UrhG/61e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