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61c UrhG — Nutzung verwaister Werke durch öffentlich-rechtliche Rundfunkanstalten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sind die Vervielfältigung und die öffentliche Zugänglichmachung von</w:t>
      </w:r>
    </w:p>
    <w:p>
      <w:pPr>
        <w:ind w:left="420"/>
      </w:pPr>
      <w:r>
        <w:t xml:space="preserve">1. Filmwerken sowie Bildträgern und Bild- und Tonträgern, auf denen Filmwerke aufgenommen sind, und</w:t>
      </w:r>
    </w:p>
    <w:p>
      <w:pPr>
        <w:ind w:left="420"/>
      </w:pPr>
      <w:r>
        <w:t xml:space="preserve">2. Tonträgern,</w:t>
      </w:r>
    </w:p>
    <w:p>
      <w:r>
        <w:t xml:space="preserve">die vor dem 1. Januar 2003 von öffentlich-rechtlichen Rundfunkanstalten hergestellt wurden und sich in deren Sammlung befinden, unter den Voraussetzungen des § 61 Absatz 2 bis 5 auch durch öffentlich-rechtliche Rundfunkanstalten. Die §§ 61a und 61b gelten entsprechend.</w:t>
      </w:r>
    </w:p>
    <w:p>
      <w:r>
        <w:rPr>
          <w:color w:val="555555"/>
          <w:sz w:val="17"/>
        </w:rPr>
        <w:t xml:space="preserve">Zitiervorschlag: § 61c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