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60g UrhG — Gesetzlich erlaubte Nutzung und vertragliche Nutzungsbefugnis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Vereinbarungen, die erlaubte Nutzungen nach den §§ 60a bis 60f zum Nachteil der Nutzungsberechtigten beschränken oder untersagen, kann sich der Rechtsinhaber nicht berufen.</w:t>
      </w:r>
    </w:p>
    <w:p>
      <w:r>
        <w:t xml:space="preserve">(2) Vereinbarungen, die ausschließlich die Zugänglichmachung an Terminals nach § 60e Absatz 4 und § 60f Absatz 1 oder den Versand von Vervielfältigungen auf Einzelbestellung nach § 60e Absatz 5 zum Gegenstand haben, gehen abweichend von Absatz 1 der gesetzlichen Erlaubnis vor.</w:t>
      </w:r>
    </w:p>
    <w:p>
      <w:r>
        <w:rPr>
          <w:color w:val="555555"/>
          <w:sz w:val="17"/>
        </w:rPr>
        <w:t xml:space="preserve">Zitiervorschlag: § 60g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https://recht.nulegal.eu/gesetze/UrhG/60g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