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UrhG — Werbung für die Ausstellung und den öffentlichen Verkauf von Werken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Zulässig sind die Vervielfältigung, Verbreitung und öffentliche Zugänglichmachung von öffentlich ausgestellten oder zur öffentlichen Ausstellung oder zum öffentlichen Verkauf bestimmten Werken gemäß § 2 Absatz 1 Nummer 4 bis 6 durch den Veranstalter zur Werbung, soweit dies zur Förderung der Veranstaltung erforderlich ist.</w:t>
      </w:r>
    </w:p>
    <w:p>
      <w:r>
        <w:rPr>
          <w:color w:val="555555"/>
          <w:sz w:val="17"/>
        </w:rPr>
        <w:t xml:space="preserve">Zitiervorschlag: § 58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