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UrhG — Vervielfältigung und öffentliche Wiedergabe in Geschäftsbetrieben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Geschäftsbetrieben, in denen Geräte zur Herstellung oder zur Wiedergabe von Bild- oder Tonträgern, zum Empfang von Funksendungen oder zur elektronischen Datenverarbeitung vertrieben oder instand gesetzt werden, ist die Übertragung von Werken auf Bild-, Ton- oder Datenträger, die öffentliche Wahrnehmbarmachung von Werken mittels Bild-, Ton- oder Datenträger sowie die öffentliche Wahrnehmbarmachung von Funksendungen und öffentliche Zugänglichmachungen von Werken zulässig, soweit dies notwendig ist, um diese Geräte Kunden vorzuführen oder instand zu setzen.</w:t>
      </w:r>
    </w:p>
    <w:p>
      <w:r>
        <w:t xml:space="preserve">(2) Nach Absatz 1 hergestellte Bild-, Ton- oder Datenträger sind unverzüglich zu löschen.</w:t>
      </w:r>
    </w:p>
    <w:p>
      <w:r>
        <w:rPr>
          <w:color w:val="555555"/>
          <w:sz w:val="17"/>
        </w:rPr>
        <w:t xml:space="preserve">Zitiervorschlag: § 56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