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54h UrhG — Verwertungsgesellschaften; Handhabung der Mitteilungen</w:t>
      </w:r>
    </w:p>
    <w:p>
      <w:r>
        <w:rPr>
          <w:color w:val="555555"/>
          <w:sz w:val="18"/>
        </w:rPr>
        <w:t xml:space="preserve">Urheberrechtsgesetz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Ansprüche nach den §§ 54 bis 54c, 54e Abs. 2, §§ 54f und 54g können nur durch eine Verwertungsgesellschaft geltend gemacht werden.</w:t>
      </w:r>
    </w:p>
    <w:p>
      <w:r>
        <w:t xml:space="preserve">(2) Jedem Berechtigten steht ein angemessener Anteil an den nach den §§ 54 bis 54c gezahlten Vergütungen zu. Soweit Werke mit technischen Maßnahmen gemäß § 95a geschützt sind, werden sie bei der Verteilung der Einnahmen nicht berücksichtigt.</w:t>
      </w:r>
    </w:p>
    <w:p>
      <w:r>
        <w:t xml:space="preserve">(3) Für Mitteilungen nach § 54b Abs. 3 und § 54e haben die Verwertungsgesellschaften dem Deutschen Patent- und Markenamt eine gemeinsame Empfangsstelle zu bezeichnen. Das Deutsche Patent- und Markenamt gibt diese im Bundesanzeiger bekannt.</w:t>
      </w:r>
    </w:p>
    <w:p>
      <w:r>
        <w:t xml:space="preserve">(4) Das Deutsche Patent- und Markenamt kann Muster für die Mitteilungen nach § 54b Abs. 3 Nr. 2 und § 54e im Bundesanzeiger bekannt machen. Werden Muster bekannt gemacht, sind diese zu verwenden.</w:t>
      </w:r>
    </w:p>
    <w:p>
      <w:r>
        <w:t xml:space="preserve">(5) Die Verwertungsgesellschaften und die Empfangsstelle dürfen die gemäß § 54b Abs. 3 Nr. 2, den §§ 54e und 54f erhaltenen Angaben nur zur Geltendmachung der Ansprüche nach Absatz 1 verwenden.</w:t>
      </w:r>
    </w:p>
    <w:p>
      <w:r>
        <w:rPr>
          <w:color w:val="555555"/>
          <w:sz w:val="17"/>
        </w:rPr>
        <w:t xml:space="preserve">Zitiervorschlag: § 54h UrhG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https://recht.nulegal.eu/gesetze/UrhG/54h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