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54e UrhG — Meldepflicht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Geräte oder Speichermedien in den Geltungsbereich dieses Gesetzes gewerblich einführt oder wiedereinführt, ist dem Urheber gegenüber verpflichtet, Art und Stückzahl der eingeführten Gegenstände der nach § 54h Abs. 3 bezeichneten Empfangsstelle monatlich bis zum zehnten Tag nach Ablauf jedes Kalendermonats schriftlich mitzuteilen.</w:t>
      </w:r>
    </w:p>
    <w:p>
      <w:r>
        <w:t xml:space="preserve">(2) Kommt der Meldepflichtige seiner Meldepflicht nicht, nur unvollständig oder sonst unrichtig nach, kann der doppelte Vergütungssatz verlangt werden.</w:t>
      </w:r>
    </w:p>
    <w:p>
      <w:r>
        <w:rPr>
          <w:color w:val="555555"/>
          <w:sz w:val="17"/>
        </w:rPr>
        <w:t xml:space="preserve">Zitiervorschlag: § 54e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https://recht.nulegal.eu/gesetze/UrhG/54e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