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54c UrhG — Vergütungspflicht des Betreibers von Ablichtungsgeräten</w:t>
      </w:r>
    </w:p>
    <w:p>
      <w:r>
        <w:rPr>
          <w:color w:val="555555"/>
          <w:sz w:val="18"/>
        </w:rPr>
        <w:t xml:space="preserve">Urheberrechtsgesetz</w:t>
      </w:r>
    </w:p>
    <w:p>
      <w:r>
        <w:rPr>
          <w:color w:val="555555"/>
          <w:sz w:val="18"/>
        </w:rPr>
        <w:t xml:space="preserve">Stand: 10.06.2019 (konsolidierte Textfassung, kein amtliches Inkrafttretensdatum)</w:t>
      </w:r>
    </w:p>
    <w:p>
      <w:r>
        <w:t xml:space="preserve">(1) Werden Geräte der in § 54 Abs. 1 genannten Art, die im Weg der Ablichtung oder in einem Verfahren vergleichbarer Wirkung vervielfältigen, in Schulen, Hochschulen sowie Einrichtungen der Berufsbildung oder der sonstigen Aus- und Weiterbildung, Forschungseinrichtungen, öffentlichen Bibliotheken, in nicht kommerziellen Archiven oder Einrichtungen im Bereich des Film- oder Tonerbes oder in nicht kommerziellen öffentlich zugänglichen Museen oder in Einrichtungen betrieben, die Geräte für die entgeltliche Herstellung von Ablichtungen bereithalten, so hat der Urheber auch gegen den Betreiber des Geräts einen Anspruch auf Zahlung einer angemessenen Vergütung.</w:t>
      </w:r>
    </w:p>
    <w:p>
      <w:r>
        <w:t xml:space="preserve">(2) Die Höhe der von dem Betreiber insgesamt geschuldeten Vergütung bemisst sich nach der Art und dem Umfang der Nutzung des Geräts, die nach den Umständen, insbesondere nach dem Standort und der üblichen Verwendung, wahrscheinlich ist.</w:t>
      </w:r>
    </w:p>
    <w:p>
      <w:r>
        <w:rPr>
          <w:color w:val="555555"/>
          <w:sz w:val="17"/>
        </w:rPr>
        <w:t xml:space="preserve">Zitiervorschlag: § 54c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