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UrhG — Rechtspflege und öffentliche Sicherheit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Zulässig ist, einzelne Vervielfältigungsstücke von Werken zur Verwendung in Verfahren vor einem Gericht, einem Schiedsgericht oder einer Behörde herzustellen oder herstellen zu lassen.</w:t>
      </w:r>
    </w:p>
    <w:p>
      <w:r>
        <w:t xml:space="preserve">(2) Gerichte und Behörden dürfen für Zwecke der Rechtspflege und der öffentlichen Sicherheit Bildnisse vervielfältigen oder vervielfältigen lassen.</w:t>
      </w:r>
    </w:p>
    <w:p>
      <w:r>
        <w:t xml:space="preserve">(3) Unter den gleichen Voraussetzungen wie die Vervielfältigung ist auch die Verbreitung, öffentliche Ausstellung und öffentliche Wiedergabe der Werke zulässig.</w:t>
      </w:r>
    </w:p>
    <w:p>
      <w:r>
        <w:rPr>
          <w:color w:val="555555"/>
          <w:sz w:val="17"/>
        </w:rPr>
        <w:t xml:space="preserve">Zitiervorschlag: § 45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