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44a UrhG — Vorübergehende Vervielfältigungshandlungen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Zulässig sind vorübergehende Vervielfältigungshandlungen, die flüchtig oder begleitend sind und einen integralen und wesentlichen Teil eines technischen Verfahrens darstellen und deren alleiniger Zweck es ist,</w:t>
      </w:r>
    </w:p>
    <w:p>
      <w:pPr>
        <w:ind w:left="420"/>
      </w:pPr>
      <w:r>
        <w:t xml:space="preserve">1. eine Übertragung in einem Netz zwischen Dritten durch einen Vermittler oder</w:t>
      </w:r>
    </w:p>
    <w:p>
      <w:pPr>
        <w:ind w:left="420"/>
      </w:pPr>
      <w:r>
        <w:t xml:space="preserve">2. eine rechtmäßige Nutzung</w:t>
      </w:r>
    </w:p>
    <w:p>
      <w:r>
        <w:t xml:space="preserve">eines Werkes oder sonstigen Schutzgegenstands zu ermöglichen, und die keine eigenständige wirtschaftliche Bedeutung haben.</w:t>
      </w:r>
    </w:p>
    <w:p>
      <w:r>
        <w:rPr>
          <w:color w:val="555555"/>
          <w:sz w:val="17"/>
        </w:rPr>
        <w:t xml:space="preserve">Zitiervorschlag: § 44a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https://recht.nulegal.eu/gesetze/UrhG/44a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