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UrhG — Rückrufsrecht wegen Nichtausübung</w:t>
      </w:r>
    </w:p>
    <w:p>
      <w:r>
        <w:rPr>
          <w:color w:val="555555"/>
          <w:sz w:val="18"/>
        </w:rPr>
        <w:t xml:space="preserve">Urheberrechtsgesetz</w:t>
      </w:r>
    </w:p>
    <w:p>
      <w:r>
        <w:rPr>
          <w:color w:val="555555"/>
          <w:sz w:val="18"/>
        </w:rPr>
        <w:t xml:space="preserve">Stand: 07.06.2021 (konsolidierte Textfassung, kein amtliches Inkrafttretensdatum)</w:t>
      </w:r>
    </w:p>
    <w:p>
      <w:r>
        <w:t xml:space="preserve">(1) Übt der Inhaber eines ausschließlichen Nutzungsrechts dieses Recht nicht oder nur unzureichend aus, so kann der Urheber entweder nur die Ausschließlichkeit des Nutzungsrechts oder das Nutzungsrecht insgesamt zurückrufen. Dies gilt nicht, wenn die Nichtausübung oder die unzureichende Ausübung des Nutzungsrechts überwiegend auf Umständen beruht, deren Behebung dem Urheber zuzumuten ist.</w:t>
      </w:r>
    </w:p>
    <w:p>
      <w:r>
        <w:t xml:space="preserve">(2) Das Rückrufsrecht kann nicht vor Ablauf von zwei Jahren seit Einräumung oder Übertragung des Nutzungsrechts oder, wenn das Werk später abgeliefert wird, seit der Ablieferung geltend gemacht werden. Bei einem Beitrag zu einer Zeitung beträgt die Frist drei Monate, bei einem Beitrag zu einer Zeitschrift, die monatlich oder in kürzeren Abständen erscheint, sechs Monate und bei einem Beitrag zu anderen Zeitschriften ein Jahr.</w:t>
      </w:r>
    </w:p>
    <w:p>
      <w:r>
        <w:t xml:space="preserve">(3) Der Rückruf kann erst erklärt werden, nachdem der Urheber dem Inhaber des Nutzungsrechts unter Ankündigung des Rückrufs eine angemessene Nachfrist zur zureichenden Ausübung des Nutzungsrechts bestimmt hat. Der Bestimmung der Nachfrist bedarf es nicht, wenn die Ausübung des Nutzungsrechts seinem Inhaber unmöglich ist oder von ihm verweigert wird oder wenn durch die Gewährung einer Nachfrist überwiegende Interessen des Urhebers gefährdet würden.</w:t>
      </w:r>
    </w:p>
    <w:p>
      <w:r>
        <w:t xml:space="preserve">(4) Von den Absätzen 1 bis 3 kann zum Nachteil des Urhebers nur durch eine Vereinbarung abgewichen werden, die auf einer gemeinsamen Vergütungsregel (§ 36) oder einem Tarifvertrag beruht.</w:t>
      </w:r>
    </w:p>
    <w:p>
      <w:r>
        <w:t xml:space="preserve">(5) Mit Wirksamwerden des Rückrufs nach Absatz 1 wandelt sich das ausschließliche Nutzungsrecht in ein einfaches Nutzungsrecht um oder erlischt insgesamt.</w:t>
      </w:r>
    </w:p>
    <w:p>
      <w:r>
        <w:t xml:space="preserve">(6) Der Urheber hat den Betroffenen zu entschädigen, wenn und soweit es der Billigkeit entspricht.</w:t>
      </w:r>
    </w:p>
    <w:p>
      <w:r>
        <w:t xml:space="preserve">(7) Rechte und Ansprüche der Beteiligten nach anderen gesetzlichen Vorschriften bleiben unberührt.</w:t>
      </w:r>
    </w:p>
    <w:p>
      <w:r>
        <w:rPr>
          <w:color w:val="555555"/>
          <w:sz w:val="17"/>
        </w:rPr>
        <w:t xml:space="preserve">Zitiervorschlag: § 41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