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39 UrhG — Änderungen des Werkes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Inhaber eines Nutzungsrechts darf das Werk, dessen Titel oder Urheberbezeichnung (§ 10 Abs. 1) nicht ändern, wenn nichts anderes vereinbart ist.</w:t>
      </w:r>
    </w:p>
    <w:p>
      <w:r>
        <w:t xml:space="preserve">(2) Änderungen des Werkes und seines Titels, zu denen der Urheber seine Einwilligung nach Treu und Glauben nicht versagen kann, sind zulässig.</w:t>
      </w:r>
    </w:p>
    <w:p>
      <w:r>
        <w:rPr>
          <w:color w:val="555555"/>
          <w:sz w:val="17"/>
        </w:rPr>
        <w:t xml:space="preserve">Zitiervorschlag: § 39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https://recht.nulegal.eu/gesetze/UrhG/39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