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36d UrhG — Unterlassungsanspruch bei Nichterteilung von Auskünften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Wer als Werknutzer Urhebern in mehreren gleich oder ähnlich gelagerten Fällen Auskünfte nach § 32d oder § 32e nicht erteilt, kann auf Unterlassung in Anspruch genommen werden. Der Anspruch nach Satz 1 steht nur Vereinigungen von Urhebern zu, die im Hinblick auf die jeweilige Gruppe von Urhebern die Anforderungen des § 36 Absatz 2 erfüllen.</w:t>
      </w:r>
    </w:p>
    <w:p>
      <w:r>
        <w:t xml:space="preserve">(2) Für die Geltendmachung des Anspruchs nach Absatz 1 genügt es, dass aufgrund nachprüfbarer Tatsachen klare Anhaltspunkte für seine Voraussetzungen vorliegen.</w:t>
      </w:r>
    </w:p>
    <w:p>
      <w:r>
        <w:t xml:space="preserve">(3) Der Anspruch nach Absatz 1 ist ausgeschlossen, wenn die Pflicht zur Auskunftserteilung nach § 32d oder § 32e in einer Vereinbarung geregelt ist, die auf einer gemeinsamen Vergütungsregel (§ 36) oder einem Tarifvertrag beruht.</w:t>
      </w:r>
    </w:p>
    <w:p>
      <w:r>
        <w:t xml:space="preserve">(4) § 36b Absatz 2 ist anzuwenden.</w:t>
      </w:r>
    </w:p>
    <w:p>
      <w:r>
        <w:rPr>
          <w:color w:val="555555"/>
          <w:sz w:val="17"/>
        </w:rPr>
        <w:t xml:space="preserve">Zitiervorschlag: § 36d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