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36b UrhG — Unterlassungsanspruch bei Verstoß gegen gemeinsame Vergütungsregeln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02.12.2020 (konsolidierte Textfassung, kein amtliches Inkrafttretensdatum)</w:t>
      </w:r>
    </w:p>
    <w:p>
      <w:r>
        <w:t xml:space="preserve">(1) Wer in einem Vertrag mit einem Urheber eine Bestimmung verwendet, die zum Nachteil des Urhebers von gemeinsamen Vergütungsregeln abweicht, kann auf Unterlassung in Anspruch genommen werden, wenn und soweit er</w:t>
      </w:r>
    </w:p>
    <w:p>
      <w:pPr>
        <w:ind w:left="420"/>
      </w:pPr>
      <w:r>
        <w:t xml:space="preserve">1. als Werknutzer die gemeinsamen Vergütungsregeln selbst aufgestellt hat oder</w:t>
      </w:r>
    </w:p>
    <w:p>
      <w:pPr>
        <w:ind w:left="420"/>
      </w:pPr>
      <w:r>
        <w:t xml:space="preserve">2. Mitglied einer Vereinigung von Werknutzern ist, die die gemeinsamen Vergütungsregeln aufgestellt hat.</w:t>
      </w:r>
    </w:p>
    <w:p>
      <w:r>
        <w:t xml:space="preserve">Der Anspruch auf Unterlassung steht denjenigen Vereinigungen von Urhebern oder Werknutzern und denjenigen einzelnen Werknutzern zu, die die gemeinsamen Vergütungsregeln aufgestellt haben.</w:t>
      </w:r>
    </w:p>
    <w:p>
      <w:r>
        <w:t xml:space="preserve">(2) Auf das Verfahren sind § 8c Absatz 1, 2 Nummer 1 und Absatz 3 und § 12 Absatz 1, 3 und 4 sowie § 13 Absatz 1 des Gesetzes gegen den unlauteren Wettbewerb entsprechend anzuwenden; soweit die Abmahnung berechtigt ist, kann der Abmahnende vom Abgemahnten Ersatz der erforderlichen Aufwendungen verlangen. Für die Bekanntmachung des Urteils gilt § 103.</w:t>
      </w:r>
    </w:p>
    <w:p>
      <w:r>
        <w:rPr>
          <w:color w:val="555555"/>
          <w:sz w:val="17"/>
        </w:rPr>
        <w:t xml:space="preserve">Zitiervorschlag: § 36b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