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32f UrhG — Mediation und außergerichtliche Konfliktbeilegung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Urheber und Werknutzer können insbesondere bei Streitigkeiten über Rechte und Ansprüche nach den §§ 32 bis 32e eine Mediation oder ein anderes freiwilliges Verfahren der außergerichtlichen Konfliktbeilegung einleiten.</w:t>
      </w:r>
    </w:p>
    <w:p>
      <w:r>
        <w:t xml:space="preserve">(2) Auf eine Vereinbarung, die zum Nachteil des Urhebers von Absatz 1 abweicht, können sich der Vertragspartner des Urhebers oder andere Werknutzer nicht berufen.</w:t>
      </w:r>
    </w:p>
    <w:p>
      <w:r>
        <w:rPr>
          <w:color w:val="555555"/>
          <w:sz w:val="17"/>
        </w:rPr>
        <w:t xml:space="preserve">Zitiervorschlag: § 32f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https://recht.nulegal.eu/gesetze/UrhG/32f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