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32e UrhG — Auskunft und Rechenschaft Dritter in der Lizenzkette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07.06.2021 (konsolidierte Textfassung, kein amtliches Inkrafttretensdatum)</w:t>
      </w:r>
    </w:p>
    <w:p>
      <w:r>
        <w:t xml:space="preserve">(1) Hat der Vertragspartner des Urhebers das Nutzungsrecht übertragen oder weitere Nutzungsrechte eingeräumt, so kann der Urheber Auskunft und Rechenschaft im Umfang des § 32d Absatz 1 bis 2 auch von denjenigen Dritten verlangen,</w:t>
      </w:r>
    </w:p>
    <w:p>
      <w:pPr>
        <w:ind w:left="420"/>
      </w:pPr>
      <w:r>
        <w:t xml:space="preserve">1. die die Nutzungsvorgänge in der Lizenzkette wirtschaftlich wesentlich bestimmen oder</w:t>
      </w:r>
    </w:p>
    <w:p>
      <w:pPr>
        <w:ind w:left="420"/>
      </w:pPr>
      <w:r>
        <w:t xml:space="preserve">2. aus deren Erträgnissen oder Vorteilen sich die unverhältnismäßig niedrige Vergütung des Urhebers gemäß § 32a Absatz 2 ergibt.</w:t>
      </w:r>
    </w:p>
    <w:p>
      <w:r>
        <w:t xml:space="preserve">Ansprüche nach Satz 1 kann der Urheber nur geltend machen, soweit sein Vertragspartner seiner Auskunftspflicht nach § 32d nicht innerhalb von drei Monaten ab Fälligkeit nachgekommen ist oder die Auskunft nicht hinreichend über die Werknutzung Dritter und die hieraus gezogenen Erträge und Vorteile informiert.</w:t>
      </w:r>
    </w:p>
    <w:p>
      <w:r>
        <w:t xml:space="preserve">(2) Für die Geltendmachung der Ansprüche nach Absatz 1 genügt es, dass aufgrund nachprüfbarer Tatsachen klare Anhaltspunkte für deren Voraussetzungen vorliegen.</w:t>
      </w:r>
    </w:p>
    <w:p>
      <w:r>
        <w:t xml:space="preserve">(3) § 32d Absatz 3 ist anzuwenden.</w:t>
      </w:r>
    </w:p>
    <w:p>
      <w:r>
        <w:rPr>
          <w:color w:val="555555"/>
          <w:sz w:val="17"/>
        </w:rPr>
        <w:t xml:space="preserve">Zitiervorschlag: § 32e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https://recht.nulegal.eu/gesetze/UrhG/32e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