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32c UrhG — Vergütung für später bekannte Nutzungsarten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Urheber hat Anspruch auf eine gesonderte angemessene Vergütung, wenn der Vertragspartner eine neue Art der Werknutzung nach § 31a aufnimmt, die im Zeitpunkt des Vertragsschlusses vereinbart, aber noch unbekannt war. § 32 Abs. 2 und 4 gilt entsprechend. Der Vertragspartner hat den Urheber über die Aufnahme der neuen Art der Werknutzung unverzüglich zu unterrichten.</w:t>
      </w:r>
    </w:p>
    <w:p>
      <w:r>
        <w:t xml:space="preserve">(2) Hat der Vertragspartner das Nutzungsrecht einem Dritten übertragen, haftet der Dritte mit der Aufnahme der neuen Art der Werknutzung für die Vergütung nach Absatz 1. Die Haftung des Vertragspartners entfällt.</w:t>
      </w:r>
    </w:p>
    <w:p>
      <w:r>
        <w:t xml:space="preserve">(3) Auf die Rechte nach den Absätzen 1 und 2 kann im Voraus nicht verzichtet werden. Der Urheber kann aber unentgeltlich ein einfaches Nutzungsrecht für jedermann einräumen.</w:t>
      </w:r>
    </w:p>
    <w:p>
      <w:r>
        <w:rPr>
          <w:color w:val="555555"/>
          <w:sz w:val="17"/>
        </w:rPr>
        <w:t xml:space="preserve">Zitiervorschlag: § 32c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https://recht.nulegal.eu/gesetze/UrhG/32c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