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32b UrhG — Zwingende Anwendung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Die §§ 32, 32a, 32d bis 32f und 38 Absatz 4 finden zwingend Anwendung</w:t>
      </w:r>
    </w:p>
    <w:p>
      <w:pPr>
        <w:ind w:left="420"/>
      </w:pPr>
      <w:r>
        <w:t xml:space="preserve">1. wenn auf den Nutzungsvertrag mangels einer Rechtswahl deutsches Recht anzuwenden wäre oder</w:t>
      </w:r>
    </w:p>
    <w:p>
      <w:pPr>
        <w:ind w:left="420"/>
      </w:pPr>
      <w:r>
        <w:t xml:space="preserve">2. soweit Gegenstand des Vertrages maßgebliche Nutzungshandlungen im räumlichen Geltungsbereich dieses Gesetzes sind.</w:t>
      </w:r>
    </w:p>
    <w:p>
      <w:r>
        <w:rPr>
          <w:color w:val="555555"/>
          <w:sz w:val="17"/>
        </w:rPr>
        <w:t xml:space="preserve">Zitiervorschlag: § 32b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