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20d UrhG — Direkteinspeisung</w:t>
      </w:r>
    </w:p>
    <w:p>
      <w:r>
        <w:rPr>
          <w:color w:val="555555"/>
          <w:sz w:val="18"/>
        </w:rPr>
        <w:t xml:space="preserve">Urheberrechtsgesetz</w:t>
      </w:r>
    </w:p>
    <w:p>
      <w:r>
        <w:rPr>
          <w:color w:val="555555"/>
          <w:sz w:val="18"/>
        </w:rPr>
        <w:t xml:space="preserve">Stand: 07.06.2021 (konsolidierte Textfassung, kein amtliches Inkrafttretensdatum)</w:t>
      </w:r>
    </w:p>
    <w:p>
      <w:r>
        <w:t xml:space="preserve">(1) Überträgt ein Sendeunternehmen die programmtragenden Signale an einen Signalverteiler, ohne sie gleichzeitig selbst öffentlich wiederzugeben (Direkteinspeisung), und gibt der Signalverteiler diese programmtragenden Signale öffentlich wieder, so gelten das Sendeunternehmen und der Signalverteiler als Beteiligte einer einzigen öffentlichen Wiedergabe.</w:t>
      </w:r>
    </w:p>
    <w:p>
      <w:r>
        <w:t xml:space="preserve">(2) § 20b gilt entsprechend.</w:t>
      </w:r>
    </w:p>
    <w:p>
      <w:r>
        <w:rPr>
          <w:color w:val="555555"/>
          <w:sz w:val="17"/>
        </w:rPr>
        <w:t xml:space="preserve">Zitiervorschlag: § 20d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