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19a UrhG — Recht der öffentlichen Zugänglichmachung</w:t>
      </w:r>
    </w:p>
    <w:p>
      <w:r>
        <w:rPr>
          <w:color w:val="555555"/>
          <w:sz w:val="18"/>
        </w:rPr>
        <w:t xml:space="preserve">Urheberrechtsgesetz</w:t>
      </w:r>
    </w:p>
    <w:p>
      <w:r>
        <w:rPr>
          <w:color w:val="555555"/>
          <w:sz w:val="18"/>
        </w:rPr>
        <w:t xml:space="preserve">Stand: 10.06.2019 (konsolidierte Textfassung, kein amtliches Inkrafttretensdatum)</w:t>
      </w:r>
    </w:p>
    <w:p>
      <w:r>
        <w:t xml:space="preserve">Das Recht der öffentlichen Zugänglichmachung ist das Recht, das Werk drahtgebunden oder drahtlos der Öffentlichkeit in einer Weise zugänglich zu machen, dass es Mitgliedern der Öffentlichkeit von Orten und zu Zeiten ihrer Wahl zugänglich ist.</w:t>
      </w:r>
    </w:p>
    <w:p>
      <w:r>
        <w:rPr>
          <w:color w:val="555555"/>
          <w:sz w:val="17"/>
        </w:rPr>
        <w:t xml:space="preserve">Zitiervorschlag: § 19a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https://recht.nulegal.eu/gesetze/UrhG/19a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