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143 UrhG — Inkrafttreten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64 bis 67, 69, 105 Abs. 1 bis 3 und § 138 Abs. 5 treten am Tage nach der Verkündung dieses Gesetzes in Kraft.</w:t>
      </w:r>
    </w:p>
    <w:p>
      <w:r>
        <w:t xml:space="preserve">(2) Im übrigen tritt dieses Gesetz am 1. Januar 1966 in Kraft.</w:t>
      </w:r>
    </w:p>
    <w:p>
      <w:r>
        <w:rPr>
          <w:color w:val="555555"/>
          <w:sz w:val="17"/>
        </w:rPr>
        <w:t xml:space="preserve">Zitiervorschlag: § 143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