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137p UrhG — Übergangsregelung aus Anlass der Umsetzung der Richtlinie (EU) 2019/789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§ 20b ist auf Verträge über Weitersendungen, die nicht durch Kabelsysteme oder Mikrowellensysteme erfolgen, nur anzuwenden, sofern der Vertrag ab dem 7. Juni 2021 geschlossen wurde.</w:t>
      </w:r>
    </w:p>
    <w:p>
      <w:r>
        <w:t xml:space="preserve">(2) § 20c ist auf Verträge über ergänzende Online-Dienste, die vor dem 7. Juni 2021 geschlossen wurden, ab dem 7. Juni 2023 anzuwenden.</w:t>
      </w:r>
    </w:p>
    <w:p>
      <w:r>
        <w:t xml:space="preserve">(3) § 20d ist auf Verträge über die Direkteinspeisung, die vor dem 7. Juni 2021 geschlossen wurden, ab dem 7. Juni 2025 anzuwenden.</w:t>
      </w:r>
    </w:p>
    <w:p>
      <w:r>
        <w:rPr>
          <w:color w:val="555555"/>
          <w:sz w:val="17"/>
        </w:rPr>
        <w:t xml:space="preserve">Zitiervorschlag: § 137p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https://recht.nulegal.eu/gesetze/UrhG/137p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