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137g UrhG — Übergangsregelung bei Umsetzung der Richtlinie 96/9/EG</w:t>
      </w:r>
    </w:p>
    <w:p>
      <w:r>
        <w:rPr>
          <w:color w:val="555555"/>
          <w:sz w:val="18"/>
        </w:rPr>
        <w:t xml:space="preserve">Urheberrechtsgesetz</w:t>
      </w:r>
    </w:p>
    <w:p>
      <w:r>
        <w:rPr>
          <w:color w:val="555555"/>
          <w:sz w:val="18"/>
        </w:rPr>
        <w:t xml:space="preserve">Stand: 07.06.2021 (konsolidierte Textfassung, kein amtliches Inkrafttretensdatum)</w:t>
      </w:r>
    </w:p>
    <w:p>
      <w:r>
        <w:t xml:space="preserve">(1) § 23 Absatz 2, § 53 Abs. 5, die §§ 55a und 63 Abs. 1 Satz 2 sind auch auf Datenbankwerke anzuwenden, die vor dem 1. Januar 1998 geschaffen wurden.</w:t>
      </w:r>
    </w:p>
    <w:p>
      <w:r>
        <w:t xml:space="preserve">(2) Die Vorschriften des Abschnitts 6 des Teils 2 sind auch auf Datenbanken anzuwenden, die zwischen dem 1. Januar 1983 und dem 31. Dezember 1997 hergestellt worden sind. Die Schutzfrist beginnt in diesen Fällen am 1. Januar 1998.</w:t>
      </w:r>
    </w:p>
    <w:p>
      <w:r>
        <w:t xml:space="preserve">(3) Die §§ 55a und 87e sind nicht auf Verträge anzuwenden, die vor dem 1. Januar 1998 abgeschlossen worden sind.</w:t>
      </w:r>
    </w:p>
    <w:p>
      <w:r>
        <w:rPr>
          <w:color w:val="555555"/>
          <w:sz w:val="17"/>
        </w:rPr>
        <w:t xml:space="preserve">Zitiervorschlag: § 137g UrhG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https://recht.nulegal.eu/gesetze/UrhG/137g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